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36"/>
          <w:szCs w:val="36"/>
        </w:rPr>
      </w:pPr>
      <w:r w:rsidDel="00000000" w:rsidR="00000000" w:rsidRPr="00000000">
        <w:rPr>
          <w:rtl w:val="0"/>
        </w:rPr>
      </w:r>
    </w:p>
    <w:p w:rsidR="00000000" w:rsidDel="00000000" w:rsidP="00000000" w:rsidRDefault="00000000" w:rsidRPr="00000000" w14:paraId="00000002">
      <w:pPr>
        <w:spacing w:after="0" w:lineRule="auto"/>
        <w:jc w:val="center"/>
        <w:rPr>
          <w:b w:val="1"/>
          <w:sz w:val="36"/>
          <w:szCs w:val="36"/>
        </w:rPr>
      </w:pPr>
      <w:r w:rsidDel="00000000" w:rsidR="00000000" w:rsidRPr="00000000">
        <w:rPr>
          <w:rtl w:val="0"/>
        </w:rPr>
      </w:r>
    </w:p>
    <w:p w:rsidR="00000000" w:rsidDel="00000000" w:rsidP="00000000" w:rsidRDefault="00000000" w:rsidRPr="00000000" w14:paraId="00000003">
      <w:pPr>
        <w:spacing w:after="0" w:lineRule="auto"/>
        <w:jc w:val="center"/>
        <w:rPr>
          <w:b w:val="1"/>
          <w:sz w:val="36"/>
          <w:szCs w:val="36"/>
        </w:rPr>
      </w:pPr>
      <w:r w:rsidDel="00000000" w:rsidR="00000000" w:rsidRPr="00000000">
        <w:rPr>
          <w:b w:val="1"/>
          <w:sz w:val="36"/>
          <w:szCs w:val="36"/>
          <w:rtl w:val="0"/>
        </w:rPr>
        <w:t xml:space="preserve">CONVOCATORIA GENERAL</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8"/>
          <w:szCs w:val="28"/>
        </w:rPr>
      </w:pPr>
      <w:r w:rsidDel="00000000" w:rsidR="00000000" w:rsidRPr="00000000">
        <w:rPr>
          <w:sz w:val="28"/>
          <w:szCs w:val="28"/>
          <w:rtl w:val="0"/>
        </w:rPr>
        <w:t xml:space="preserve">La Asociación Latinoamericana de Facultades y Escuelas de Contaduría y Administración, en asocio con la Asociación Colombiana de Facultades de Contaduría Pública y la Facultad de Ciencias Económicas, Administrativas y Contables de la Universidad Cooperativa de Colombia, se permiten:</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center"/>
        <w:rPr>
          <w:b w:val="1"/>
          <w:sz w:val="28"/>
          <w:szCs w:val="28"/>
        </w:rPr>
      </w:pPr>
      <w:r w:rsidDel="00000000" w:rsidR="00000000" w:rsidRPr="00000000">
        <w:rPr>
          <w:b w:val="1"/>
          <w:sz w:val="28"/>
          <w:szCs w:val="28"/>
          <w:rtl w:val="0"/>
        </w:rPr>
        <w:t xml:space="preserve">Convocar</w:t>
      </w:r>
    </w:p>
    <w:p w:rsidR="00000000" w:rsidDel="00000000" w:rsidP="00000000" w:rsidRDefault="00000000" w:rsidRPr="00000000" w14:paraId="00000008">
      <w:pPr>
        <w:spacing w:after="0" w:lineRule="auto"/>
        <w:jc w:val="both"/>
        <w:rPr>
          <w:sz w:val="10"/>
          <w:szCs w:val="10"/>
        </w:rPr>
      </w:pPr>
      <w:r w:rsidDel="00000000" w:rsidR="00000000" w:rsidRPr="00000000">
        <w:rPr>
          <w:rtl w:val="0"/>
        </w:rPr>
      </w:r>
    </w:p>
    <w:p w:rsidR="00000000" w:rsidDel="00000000" w:rsidP="00000000" w:rsidRDefault="00000000" w:rsidRPr="00000000" w14:paraId="00000009">
      <w:pPr>
        <w:spacing w:after="0" w:lineRule="auto"/>
        <w:jc w:val="both"/>
        <w:rPr>
          <w:sz w:val="28"/>
          <w:szCs w:val="28"/>
        </w:rPr>
      </w:pPr>
      <w:r w:rsidDel="00000000" w:rsidR="00000000" w:rsidRPr="00000000">
        <w:rPr>
          <w:sz w:val="28"/>
          <w:szCs w:val="28"/>
          <w:rtl w:val="0"/>
        </w:rPr>
        <w:t xml:space="preserve">A estudiantes de pregrado de las instituciones afiliadas y miembros de ALAFEC al VI Congreso Latinoamericano de Estudiantes de Contaduría y Administración –CONTAD 2025.</w:t>
      </w:r>
    </w:p>
    <w:p w:rsidR="00000000" w:rsidDel="00000000" w:rsidP="00000000" w:rsidRDefault="00000000" w:rsidRPr="00000000" w14:paraId="0000000A">
      <w:pPr>
        <w:spacing w:after="0" w:lineRule="auto"/>
        <w:jc w:val="both"/>
        <w:rPr>
          <w:sz w:val="10"/>
          <w:szCs w:val="10"/>
        </w:rPr>
      </w:pPr>
      <w:r w:rsidDel="00000000" w:rsidR="00000000" w:rsidRPr="00000000">
        <w:rPr>
          <w:rtl w:val="0"/>
        </w:rPr>
      </w:r>
    </w:p>
    <w:p w:rsidR="00000000" w:rsidDel="00000000" w:rsidP="00000000" w:rsidRDefault="00000000" w:rsidRPr="00000000" w14:paraId="0000000B">
      <w:pPr>
        <w:spacing w:after="0" w:lineRule="auto"/>
        <w:jc w:val="center"/>
        <w:rPr>
          <w:b w:val="1"/>
          <w:sz w:val="28"/>
          <w:szCs w:val="28"/>
        </w:rPr>
      </w:pPr>
      <w:r w:rsidDel="00000000" w:rsidR="00000000" w:rsidRPr="00000000">
        <w:rPr>
          <w:b w:val="1"/>
          <w:sz w:val="28"/>
          <w:szCs w:val="28"/>
          <w:rtl w:val="0"/>
        </w:rPr>
        <w:t xml:space="preserve">Tema Central</w:t>
      </w:r>
    </w:p>
    <w:p w:rsidR="00000000" w:rsidDel="00000000" w:rsidP="00000000" w:rsidRDefault="00000000" w:rsidRPr="00000000" w14:paraId="0000000C">
      <w:pPr>
        <w:spacing w:after="0" w:lineRule="auto"/>
        <w:jc w:val="both"/>
        <w:rPr>
          <w:sz w:val="10"/>
          <w:szCs w:val="10"/>
        </w:rPr>
      </w:pPr>
      <w:r w:rsidDel="00000000" w:rsidR="00000000" w:rsidRPr="00000000">
        <w:rPr>
          <w:rtl w:val="0"/>
        </w:rPr>
      </w:r>
    </w:p>
    <w:p w:rsidR="00000000" w:rsidDel="00000000" w:rsidP="00000000" w:rsidRDefault="00000000" w:rsidRPr="00000000" w14:paraId="0000000D">
      <w:pPr>
        <w:spacing w:after="0" w:lineRule="auto"/>
        <w:jc w:val="center"/>
        <w:rPr>
          <w:sz w:val="10"/>
          <w:szCs w:val="10"/>
        </w:rPr>
      </w:pPr>
      <w:r w:rsidDel="00000000" w:rsidR="00000000" w:rsidRPr="00000000">
        <w:rPr>
          <w:sz w:val="28"/>
          <w:szCs w:val="28"/>
          <w:rtl w:val="0"/>
        </w:rPr>
        <w:t xml:space="preserve">“Innovación, sostenibilidad y talento latinoamericano para un futuro global” ”</w:t>
      </w:r>
      <w:r w:rsidDel="00000000" w:rsidR="00000000" w:rsidRPr="00000000">
        <w:rPr>
          <w:rtl w:val="0"/>
        </w:rPr>
      </w:r>
    </w:p>
    <w:p w:rsidR="00000000" w:rsidDel="00000000" w:rsidP="00000000" w:rsidRDefault="00000000" w:rsidRPr="00000000" w14:paraId="0000000E">
      <w:pPr>
        <w:spacing w:after="0" w:lineRule="auto"/>
        <w:jc w:val="center"/>
        <w:rPr>
          <w:b w:val="1"/>
          <w:sz w:val="10"/>
          <w:szCs w:val="10"/>
        </w:rPr>
      </w:pPr>
      <w:r w:rsidDel="00000000" w:rsidR="00000000" w:rsidRPr="00000000">
        <w:rPr>
          <w:rtl w:val="0"/>
        </w:rPr>
      </w:r>
    </w:p>
    <w:p w:rsidR="00000000" w:rsidDel="00000000" w:rsidP="00000000" w:rsidRDefault="00000000" w:rsidRPr="00000000" w14:paraId="0000000F">
      <w:pPr>
        <w:spacing w:after="0" w:lineRule="auto"/>
        <w:jc w:val="center"/>
        <w:rPr>
          <w:b w:val="1"/>
          <w:sz w:val="28"/>
          <w:szCs w:val="28"/>
        </w:rPr>
      </w:pPr>
      <w:r w:rsidDel="00000000" w:rsidR="00000000" w:rsidRPr="00000000">
        <w:rPr>
          <w:b w:val="1"/>
          <w:sz w:val="28"/>
          <w:szCs w:val="28"/>
          <w:rtl w:val="0"/>
        </w:rPr>
        <w:t xml:space="preserve">Sede del evento</w:t>
      </w:r>
    </w:p>
    <w:p w:rsidR="00000000" w:rsidDel="00000000" w:rsidP="00000000" w:rsidRDefault="00000000" w:rsidRPr="00000000" w14:paraId="00000010">
      <w:pPr>
        <w:spacing w:after="0" w:lineRule="auto"/>
        <w:jc w:val="both"/>
        <w:rPr>
          <w:sz w:val="10"/>
          <w:szCs w:val="10"/>
        </w:rPr>
      </w:pPr>
      <w:r w:rsidDel="00000000" w:rsidR="00000000" w:rsidRPr="00000000">
        <w:rPr>
          <w:rtl w:val="0"/>
        </w:rPr>
      </w:r>
    </w:p>
    <w:p w:rsidR="00000000" w:rsidDel="00000000" w:rsidP="00000000" w:rsidRDefault="00000000" w:rsidRPr="00000000" w14:paraId="00000011">
      <w:pPr>
        <w:spacing w:after="0" w:lineRule="auto"/>
        <w:jc w:val="center"/>
        <w:rPr>
          <w:sz w:val="28"/>
          <w:szCs w:val="28"/>
        </w:rPr>
      </w:pPr>
      <w:r w:rsidDel="00000000" w:rsidR="00000000" w:rsidRPr="00000000">
        <w:rPr>
          <w:sz w:val="28"/>
          <w:szCs w:val="28"/>
          <w:rtl w:val="0"/>
        </w:rPr>
        <w:t xml:space="preserve">Campus Santa Marta de la Universidad Cooperativa de Colombia.</w:t>
      </w:r>
    </w:p>
    <w:p w:rsidR="00000000" w:rsidDel="00000000" w:rsidP="00000000" w:rsidRDefault="00000000" w:rsidRPr="00000000" w14:paraId="00000012">
      <w:pPr>
        <w:spacing w:after="0" w:lineRule="auto"/>
        <w:jc w:val="center"/>
        <w:rPr>
          <w:sz w:val="10"/>
          <w:szCs w:val="10"/>
        </w:rPr>
      </w:pPr>
      <w:r w:rsidDel="00000000" w:rsidR="00000000" w:rsidRPr="00000000">
        <w:rPr>
          <w:rtl w:val="0"/>
        </w:rPr>
      </w:r>
    </w:p>
    <w:p w:rsidR="00000000" w:rsidDel="00000000" w:rsidP="00000000" w:rsidRDefault="00000000" w:rsidRPr="00000000" w14:paraId="00000013">
      <w:pPr>
        <w:spacing w:after="0" w:lineRule="auto"/>
        <w:jc w:val="center"/>
        <w:rPr>
          <w:sz w:val="28"/>
          <w:szCs w:val="28"/>
        </w:rPr>
      </w:pPr>
      <w:r w:rsidDel="00000000" w:rsidR="00000000" w:rsidRPr="00000000">
        <w:rPr>
          <w:b w:val="1"/>
          <w:sz w:val="28"/>
          <w:szCs w:val="28"/>
          <w:rtl w:val="0"/>
        </w:rPr>
        <w:t xml:space="preserve">Fecha:</w:t>
      </w:r>
      <w:r w:rsidDel="00000000" w:rsidR="00000000" w:rsidRPr="00000000">
        <w:rPr>
          <w:sz w:val="28"/>
          <w:szCs w:val="28"/>
          <w:rtl w:val="0"/>
        </w:rPr>
        <w:t xml:space="preserve"> noviembre del 4 al 8 de 2025</w:t>
      </w:r>
    </w:p>
    <w:p w:rsidR="00000000" w:rsidDel="00000000" w:rsidP="00000000" w:rsidRDefault="00000000" w:rsidRPr="00000000" w14:paraId="00000014">
      <w:pPr>
        <w:spacing w:after="0" w:lineRule="auto"/>
        <w:jc w:val="both"/>
        <w:rPr>
          <w:sz w:val="10"/>
          <w:szCs w:val="10"/>
        </w:rPr>
      </w:pPr>
      <w:r w:rsidDel="00000000" w:rsidR="00000000" w:rsidRPr="00000000">
        <w:rPr>
          <w:rtl w:val="0"/>
        </w:rPr>
      </w:r>
    </w:p>
    <w:p w:rsidR="00000000" w:rsidDel="00000000" w:rsidP="00000000" w:rsidRDefault="00000000" w:rsidRPr="00000000" w14:paraId="00000015">
      <w:pPr>
        <w:spacing w:after="0" w:lineRule="auto"/>
        <w:jc w:val="both"/>
        <w:rPr>
          <w:sz w:val="28"/>
          <w:szCs w:val="28"/>
        </w:rPr>
      </w:pPr>
      <w:r w:rsidDel="00000000" w:rsidR="00000000" w:rsidRPr="00000000">
        <w:rPr>
          <w:sz w:val="28"/>
          <w:szCs w:val="28"/>
          <w:rtl w:val="0"/>
        </w:rPr>
        <w:t xml:space="preserve">Siguiendo con la tradición de este evento y, teniendo los aprendizajes del CONTAD 2025, en la Facultad de Ciencias Económicas y Sociales de la Universidad Autónoma de Santo Domingo en República Dominicana, se fortalecerán los espacios de conferencias centrales (nacionales e internacionales), espacios de formación en temas específicos, la socialización de ponencias ofrecidas por la comunidad estudiantil participante y cursos temáticos ofrecidos por profesores de las instituciones asociadas a ALAFEC.</w:t>
      </w:r>
    </w:p>
    <w:p w:rsidR="00000000" w:rsidDel="00000000" w:rsidP="00000000" w:rsidRDefault="00000000" w:rsidRPr="00000000" w14:paraId="00000016">
      <w:pPr>
        <w:spacing w:after="0" w:lineRule="auto"/>
        <w:jc w:val="both"/>
        <w:rPr>
          <w:sz w:val="28"/>
          <w:szCs w:val="28"/>
        </w:rPr>
      </w:pPr>
      <w:r w:rsidDel="00000000" w:rsidR="00000000" w:rsidRPr="00000000">
        <w:rPr>
          <w:rtl w:val="0"/>
        </w:rPr>
      </w:r>
    </w:p>
    <w:p w:rsidR="00000000" w:rsidDel="00000000" w:rsidP="00000000" w:rsidRDefault="00000000" w:rsidRPr="00000000" w14:paraId="00000017">
      <w:pPr>
        <w:spacing w:after="0" w:lineRule="auto"/>
        <w:jc w:val="both"/>
        <w:rPr>
          <w:sz w:val="28"/>
          <w:szCs w:val="28"/>
        </w:rPr>
      </w:pPr>
      <w:r w:rsidDel="00000000" w:rsidR="00000000" w:rsidRPr="00000000">
        <w:rPr>
          <w:sz w:val="28"/>
          <w:szCs w:val="28"/>
          <w:rtl w:val="0"/>
        </w:rPr>
        <w:t xml:space="preserve">Atendiendo que Santa Marta es uno de los Distritos Turísticos, Culturales e Históricos de Colombia, se dispondrán de salidas guiadas dentro de la ciudad</w:t>
      </w:r>
    </w:p>
    <w:p w:rsidR="00000000" w:rsidDel="00000000" w:rsidP="00000000" w:rsidRDefault="00000000" w:rsidRPr="00000000" w14:paraId="00000018">
      <w:pPr>
        <w:spacing w:after="0" w:lineRule="auto"/>
        <w:jc w:val="both"/>
        <w:rPr>
          <w:sz w:val="28"/>
          <w:szCs w:val="28"/>
        </w:rPr>
      </w:pPr>
      <w:r w:rsidDel="00000000" w:rsidR="00000000" w:rsidRPr="00000000">
        <w:rPr>
          <w:rtl w:val="0"/>
        </w:rPr>
      </w:r>
    </w:p>
    <w:p w:rsidR="00000000" w:rsidDel="00000000" w:rsidP="00000000" w:rsidRDefault="00000000" w:rsidRPr="00000000" w14:paraId="00000019">
      <w:pPr>
        <w:spacing w:after="0" w:lineRule="auto"/>
        <w:jc w:val="both"/>
        <w:rPr>
          <w:sz w:val="28"/>
          <w:szCs w:val="28"/>
        </w:rPr>
      </w:pPr>
      <w:r w:rsidDel="00000000" w:rsidR="00000000" w:rsidRPr="00000000">
        <w:rPr>
          <w:rtl w:val="0"/>
        </w:rPr>
      </w:r>
    </w:p>
    <w:p w:rsidR="00000000" w:rsidDel="00000000" w:rsidP="00000000" w:rsidRDefault="00000000" w:rsidRPr="00000000" w14:paraId="0000001A">
      <w:pPr>
        <w:spacing w:after="0" w:lineRule="auto"/>
        <w:jc w:val="both"/>
        <w:rPr>
          <w:sz w:val="28"/>
          <w:szCs w:val="28"/>
        </w:rPr>
      </w:pPr>
      <w:r w:rsidDel="00000000" w:rsidR="00000000" w:rsidRPr="00000000">
        <w:rPr>
          <w:rtl w:val="0"/>
        </w:rPr>
      </w:r>
    </w:p>
    <w:p w:rsidR="00000000" w:rsidDel="00000000" w:rsidP="00000000" w:rsidRDefault="00000000" w:rsidRPr="00000000" w14:paraId="0000001B">
      <w:pPr>
        <w:spacing w:after="0" w:lineRule="auto"/>
        <w:jc w:val="both"/>
        <w:rPr>
          <w:sz w:val="28"/>
          <w:szCs w:val="28"/>
        </w:rPr>
      </w:pPr>
      <w:r w:rsidDel="00000000" w:rsidR="00000000" w:rsidRPr="00000000">
        <w:rPr>
          <w:rtl w:val="0"/>
        </w:rPr>
      </w:r>
    </w:p>
    <w:p w:rsidR="00000000" w:rsidDel="00000000" w:rsidP="00000000" w:rsidRDefault="00000000" w:rsidRPr="00000000" w14:paraId="0000001C">
      <w:pPr>
        <w:spacing w:after="0" w:lineRule="auto"/>
        <w:jc w:val="both"/>
        <w:rPr>
          <w:sz w:val="28"/>
          <w:szCs w:val="28"/>
        </w:rPr>
      </w:pPr>
      <w:r w:rsidDel="00000000" w:rsidR="00000000" w:rsidRPr="00000000">
        <w:rPr>
          <w:sz w:val="28"/>
          <w:szCs w:val="28"/>
          <w:rtl w:val="0"/>
        </w:rPr>
        <w:t xml:space="preserve">favoreciendo así una mejor comprensión de los temas y problemas abordados durante el evento.</w:t>
      </w:r>
    </w:p>
    <w:p w:rsidR="00000000" w:rsidDel="00000000" w:rsidP="00000000" w:rsidRDefault="00000000" w:rsidRPr="00000000" w14:paraId="0000001D">
      <w:pPr>
        <w:spacing w:after="0" w:lineRule="auto"/>
        <w:jc w:val="both"/>
        <w:rPr>
          <w:b w:val="1"/>
          <w:sz w:val="10"/>
          <w:szCs w:val="10"/>
        </w:rPr>
      </w:pPr>
      <w:r w:rsidDel="00000000" w:rsidR="00000000" w:rsidRPr="00000000">
        <w:rPr>
          <w:rtl w:val="0"/>
        </w:rPr>
      </w:r>
    </w:p>
    <w:p w:rsidR="00000000" w:rsidDel="00000000" w:rsidP="00000000" w:rsidRDefault="00000000" w:rsidRPr="00000000" w14:paraId="0000001E">
      <w:pPr>
        <w:spacing w:after="0" w:lineRule="auto"/>
        <w:jc w:val="both"/>
        <w:rPr>
          <w:b w:val="1"/>
          <w:sz w:val="28"/>
          <w:szCs w:val="28"/>
        </w:rPr>
      </w:pPr>
      <w:r w:rsidDel="00000000" w:rsidR="00000000" w:rsidRPr="00000000">
        <w:rPr>
          <w:b w:val="1"/>
          <w:sz w:val="28"/>
          <w:szCs w:val="28"/>
          <w:rtl w:val="0"/>
        </w:rPr>
        <w:t xml:space="preserve">Cursos intensivos</w:t>
      </w:r>
    </w:p>
    <w:p w:rsidR="00000000" w:rsidDel="00000000" w:rsidP="00000000" w:rsidRDefault="00000000" w:rsidRPr="00000000" w14:paraId="0000001F">
      <w:pPr>
        <w:spacing w:after="0" w:lineRule="auto"/>
        <w:jc w:val="both"/>
        <w:rPr>
          <w:sz w:val="10"/>
          <w:szCs w:val="10"/>
        </w:rPr>
      </w:pPr>
      <w:r w:rsidDel="00000000" w:rsidR="00000000" w:rsidRPr="00000000">
        <w:rPr>
          <w:rtl w:val="0"/>
        </w:rPr>
      </w:r>
    </w:p>
    <w:p w:rsidR="00000000" w:rsidDel="00000000" w:rsidP="00000000" w:rsidRDefault="00000000" w:rsidRPr="00000000" w14:paraId="00000020">
      <w:pPr>
        <w:spacing w:after="0" w:lineRule="auto"/>
        <w:jc w:val="both"/>
        <w:rPr>
          <w:sz w:val="28"/>
          <w:szCs w:val="28"/>
        </w:rPr>
      </w:pPr>
      <w:r w:rsidDel="00000000" w:rsidR="00000000" w:rsidRPr="00000000">
        <w:rPr>
          <w:sz w:val="28"/>
          <w:szCs w:val="28"/>
          <w:rtl w:val="0"/>
        </w:rPr>
        <w:t xml:space="preserve">Para el CONTAD_2025 se han programado cuatro (4) cursos que generan insignias digitales, para que las personas que asistan a uno de ellos. El curso que se tomará debe ser elegido por la persona participante al momento de inscribirse en el evento. La oferta está integrada por siguientes cursos:</w:t>
      </w:r>
    </w:p>
    <w:p w:rsidR="00000000" w:rsidDel="00000000" w:rsidP="00000000" w:rsidRDefault="00000000" w:rsidRPr="00000000" w14:paraId="00000021">
      <w:pPr>
        <w:spacing w:after="0" w:lineRule="auto"/>
        <w:jc w:val="both"/>
        <w:rPr>
          <w:sz w:val="10"/>
          <w:szCs w:val="10"/>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85" w:hanging="360"/>
        <w:jc w:val="both"/>
        <w:rPr>
          <w:color w:val="000000"/>
          <w:sz w:val="28"/>
          <w:szCs w:val="28"/>
        </w:rPr>
      </w:pPr>
      <w:r w:rsidDel="00000000" w:rsidR="00000000" w:rsidRPr="00000000">
        <w:rPr>
          <w:color w:val="000000"/>
          <w:sz w:val="28"/>
          <w:szCs w:val="28"/>
          <w:rtl w:val="0"/>
        </w:rPr>
        <w:t xml:space="preserve">Gestión estratégica de los datos.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85" w:hanging="360"/>
        <w:jc w:val="both"/>
        <w:rPr>
          <w:color w:val="000000"/>
          <w:sz w:val="28"/>
          <w:szCs w:val="28"/>
        </w:rPr>
      </w:pPr>
      <w:r w:rsidDel="00000000" w:rsidR="00000000" w:rsidRPr="00000000">
        <w:rPr>
          <w:color w:val="000000"/>
          <w:sz w:val="28"/>
          <w:szCs w:val="28"/>
          <w:rtl w:val="0"/>
        </w:rPr>
        <w:t xml:space="preserve">Innovación, competitividad y sostenibilidad.</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85" w:hanging="360"/>
        <w:jc w:val="both"/>
        <w:rPr>
          <w:color w:val="000000"/>
          <w:sz w:val="28"/>
          <w:szCs w:val="28"/>
        </w:rPr>
      </w:pPr>
      <w:r w:rsidDel="00000000" w:rsidR="00000000" w:rsidRPr="00000000">
        <w:rPr>
          <w:color w:val="000000"/>
          <w:sz w:val="28"/>
          <w:szCs w:val="28"/>
          <w:rtl w:val="0"/>
        </w:rPr>
        <w:t xml:space="preserve">Políticas públicas, humanización y organizaciones.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Rule="auto"/>
        <w:ind w:left="785" w:hanging="360"/>
        <w:jc w:val="both"/>
        <w:rPr>
          <w:color w:val="000000"/>
          <w:sz w:val="28"/>
          <w:szCs w:val="28"/>
        </w:rPr>
      </w:pPr>
      <w:r w:rsidDel="00000000" w:rsidR="00000000" w:rsidRPr="00000000">
        <w:rPr>
          <w:color w:val="000000"/>
          <w:sz w:val="28"/>
          <w:szCs w:val="28"/>
          <w:rtl w:val="0"/>
        </w:rPr>
        <w:t xml:space="preserve">Tecnologías emergentes y transformación digital.</w:t>
      </w:r>
    </w:p>
    <w:p w:rsidR="00000000" w:rsidDel="00000000" w:rsidP="00000000" w:rsidRDefault="00000000" w:rsidRPr="00000000" w14:paraId="00000026">
      <w:pPr>
        <w:spacing w:after="0" w:lineRule="auto"/>
        <w:jc w:val="both"/>
        <w:rPr>
          <w:sz w:val="10"/>
          <w:szCs w:val="10"/>
        </w:rPr>
      </w:pPr>
      <w:r w:rsidDel="00000000" w:rsidR="00000000" w:rsidRPr="00000000">
        <w:rPr>
          <w:rtl w:val="0"/>
        </w:rPr>
      </w:r>
    </w:p>
    <w:p w:rsidR="00000000" w:rsidDel="00000000" w:rsidP="00000000" w:rsidRDefault="00000000" w:rsidRPr="00000000" w14:paraId="00000027">
      <w:pPr>
        <w:spacing w:after="0" w:lineRule="auto"/>
        <w:jc w:val="both"/>
        <w:rPr>
          <w:sz w:val="28"/>
          <w:szCs w:val="28"/>
        </w:rPr>
      </w:pPr>
      <w:r w:rsidDel="00000000" w:rsidR="00000000" w:rsidRPr="00000000">
        <w:rPr>
          <w:sz w:val="28"/>
          <w:szCs w:val="28"/>
          <w:rtl w:val="0"/>
        </w:rPr>
        <w:t xml:space="preserve">Estos cursos serán tomados tanto por los delegados ponentes como por los delegados asistentes y tienen una certificación independiente, a través de una insignia digital.</w:t>
      </w:r>
    </w:p>
    <w:p w:rsidR="00000000" w:rsidDel="00000000" w:rsidP="00000000" w:rsidRDefault="00000000" w:rsidRPr="00000000" w14:paraId="00000028">
      <w:pPr>
        <w:spacing w:after="0" w:lineRule="auto"/>
        <w:jc w:val="both"/>
        <w:rPr>
          <w:b w:val="1"/>
          <w:sz w:val="10"/>
          <w:szCs w:val="10"/>
        </w:rPr>
      </w:pPr>
      <w:r w:rsidDel="00000000" w:rsidR="00000000" w:rsidRPr="00000000">
        <w:rPr>
          <w:rtl w:val="0"/>
        </w:rPr>
      </w:r>
    </w:p>
    <w:p w:rsidR="00000000" w:rsidDel="00000000" w:rsidP="00000000" w:rsidRDefault="00000000" w:rsidRPr="00000000" w14:paraId="00000029">
      <w:pPr>
        <w:spacing w:after="0" w:lineRule="auto"/>
        <w:jc w:val="both"/>
        <w:rPr>
          <w:b w:val="1"/>
          <w:sz w:val="28"/>
          <w:szCs w:val="28"/>
        </w:rPr>
      </w:pPr>
      <w:r w:rsidDel="00000000" w:rsidR="00000000" w:rsidRPr="00000000">
        <w:rPr>
          <w:b w:val="1"/>
          <w:sz w:val="28"/>
          <w:szCs w:val="28"/>
          <w:rtl w:val="0"/>
        </w:rPr>
        <w:t xml:space="preserve">Ponencias de los estudiantes</w:t>
      </w:r>
    </w:p>
    <w:p w:rsidR="00000000" w:rsidDel="00000000" w:rsidP="00000000" w:rsidRDefault="00000000" w:rsidRPr="00000000" w14:paraId="0000002A">
      <w:pPr>
        <w:spacing w:after="0" w:lineRule="auto"/>
        <w:jc w:val="both"/>
        <w:rPr>
          <w:sz w:val="10"/>
          <w:szCs w:val="10"/>
        </w:rPr>
      </w:pPr>
      <w:r w:rsidDel="00000000" w:rsidR="00000000" w:rsidRPr="00000000">
        <w:rPr>
          <w:rtl w:val="0"/>
        </w:rPr>
      </w:r>
    </w:p>
    <w:p w:rsidR="00000000" w:rsidDel="00000000" w:rsidP="00000000" w:rsidRDefault="00000000" w:rsidRPr="00000000" w14:paraId="0000002B">
      <w:pPr>
        <w:spacing w:after="0" w:lineRule="auto"/>
        <w:jc w:val="both"/>
        <w:rPr>
          <w:sz w:val="28"/>
          <w:szCs w:val="28"/>
        </w:rPr>
      </w:pPr>
      <w:r w:rsidDel="00000000" w:rsidR="00000000" w:rsidRPr="00000000">
        <w:rPr>
          <w:sz w:val="28"/>
          <w:szCs w:val="28"/>
          <w:rtl w:val="0"/>
        </w:rPr>
        <w:t xml:space="preserve">Los documentos postulados por los estudiantes para ser presentados como ponencias en el CONTAD 2025, deben tener la siguiente estructura general:</w:t>
      </w:r>
    </w:p>
    <w:p w:rsidR="00000000" w:rsidDel="00000000" w:rsidP="00000000" w:rsidRDefault="00000000" w:rsidRPr="00000000" w14:paraId="0000002C">
      <w:pPr>
        <w:spacing w:after="0" w:lineRule="auto"/>
        <w:jc w:val="both"/>
        <w:rPr>
          <w:sz w:val="10"/>
          <w:szCs w:val="1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Resumen</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Palabras clave</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Introducción</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Desarrollo</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Método utilizado</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Resultados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Conclusiones y referencias </w:t>
      </w:r>
    </w:p>
    <w:p w:rsidR="00000000" w:rsidDel="00000000" w:rsidP="00000000" w:rsidRDefault="00000000" w:rsidRPr="00000000" w14:paraId="00000034">
      <w:pPr>
        <w:spacing w:after="0" w:lineRule="auto"/>
        <w:jc w:val="both"/>
        <w:rPr>
          <w:sz w:val="10"/>
          <w:szCs w:val="10"/>
        </w:rPr>
      </w:pPr>
      <w:r w:rsidDel="00000000" w:rsidR="00000000" w:rsidRPr="00000000">
        <w:rPr>
          <w:rtl w:val="0"/>
        </w:rPr>
      </w:r>
    </w:p>
    <w:p w:rsidR="00000000" w:rsidDel="00000000" w:rsidP="00000000" w:rsidRDefault="00000000" w:rsidRPr="00000000" w14:paraId="00000035">
      <w:pPr>
        <w:spacing w:after="0" w:lineRule="auto"/>
        <w:jc w:val="both"/>
        <w:rPr>
          <w:sz w:val="28"/>
          <w:szCs w:val="28"/>
        </w:rPr>
      </w:pPr>
      <w:r w:rsidDel="00000000" w:rsidR="00000000" w:rsidRPr="00000000">
        <w:rPr>
          <w:sz w:val="28"/>
          <w:szCs w:val="28"/>
          <w:rtl w:val="0"/>
        </w:rPr>
        <w:t xml:space="preserve">Adicionalmente, las ponencias también pueden tener formato de ensayo, en cuyo caso el contenido es: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Resumen</w:t>
      </w:r>
    </w:p>
    <w:p w:rsidR="00000000" w:rsidDel="00000000" w:rsidP="00000000" w:rsidRDefault="00000000" w:rsidRPr="00000000" w14:paraId="00000037">
      <w:pPr>
        <w:spacing w:after="0" w:lineRule="auto"/>
        <w:jc w:val="both"/>
        <w:rPr>
          <w:sz w:val="28"/>
          <w:szCs w:val="28"/>
        </w:rPr>
      </w:pPr>
      <w:r w:rsidDel="00000000" w:rsidR="00000000" w:rsidRPr="00000000">
        <w:rPr>
          <w:rtl w:val="0"/>
        </w:rPr>
      </w:r>
    </w:p>
    <w:p w:rsidR="00000000" w:rsidDel="00000000" w:rsidP="00000000" w:rsidRDefault="00000000" w:rsidRPr="00000000" w14:paraId="00000038">
      <w:pPr>
        <w:spacing w:after="0" w:lineRule="auto"/>
        <w:jc w:val="both"/>
        <w:rPr>
          <w:sz w:val="28"/>
          <w:szCs w:val="28"/>
        </w:rPr>
      </w:pPr>
      <w:r w:rsidDel="00000000" w:rsidR="00000000" w:rsidRPr="00000000">
        <w:rPr>
          <w:rtl w:val="0"/>
        </w:rPr>
      </w:r>
    </w:p>
    <w:p w:rsidR="00000000" w:rsidDel="00000000" w:rsidP="00000000" w:rsidRDefault="00000000" w:rsidRPr="00000000" w14:paraId="00000039">
      <w:pPr>
        <w:spacing w:after="0" w:lineRule="auto"/>
        <w:jc w:val="both"/>
        <w:rPr>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Palabras clave</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Cuerpo del ensayo</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Referencias</w:t>
      </w:r>
    </w:p>
    <w:p w:rsidR="00000000" w:rsidDel="00000000" w:rsidP="00000000" w:rsidRDefault="00000000" w:rsidRPr="00000000" w14:paraId="0000003D">
      <w:pPr>
        <w:spacing w:after="0" w:lineRule="auto"/>
        <w:jc w:val="both"/>
        <w:rPr>
          <w:sz w:val="28"/>
          <w:szCs w:val="28"/>
        </w:rPr>
      </w:pPr>
      <w:r w:rsidDel="00000000" w:rsidR="00000000" w:rsidRPr="00000000">
        <w:rPr>
          <w:rtl w:val="0"/>
        </w:rPr>
      </w:r>
    </w:p>
    <w:p w:rsidR="00000000" w:rsidDel="00000000" w:rsidP="00000000" w:rsidRDefault="00000000" w:rsidRPr="00000000" w14:paraId="0000003E">
      <w:pPr>
        <w:spacing w:after="0" w:lineRule="auto"/>
        <w:jc w:val="both"/>
        <w:rPr>
          <w:sz w:val="28"/>
          <w:szCs w:val="28"/>
        </w:rPr>
      </w:pPr>
      <w:r w:rsidDel="00000000" w:rsidR="00000000" w:rsidRPr="00000000">
        <w:rPr>
          <w:sz w:val="28"/>
          <w:szCs w:val="28"/>
          <w:rtl w:val="0"/>
        </w:rPr>
        <w:t xml:space="preserve">La extensión para ambos casos es entre 4000 y 7000 palabras, incluyendo referencias, tablas e ilustraciones. La lista de referencias y las citas dentro del texto deben ser construidas utilizando las normas APA. Los trabajos presentados no deben estar publicados previamente en formato físico o electrónico. Las ponencias serán clasificadas para presentación y publicación. Las ponencias que reciban el aval para publicación por parte del Comité Académico del CONTAD 2025, tendrán un proceso adicional. Queda estrictamente prohibido el uso de Inteligencia Artificial para el desarrollo del documento y de la ponencia.</w:t>
      </w:r>
    </w:p>
    <w:p w:rsidR="00000000" w:rsidDel="00000000" w:rsidP="00000000" w:rsidRDefault="00000000" w:rsidRPr="00000000" w14:paraId="0000003F">
      <w:pPr>
        <w:spacing w:after="0" w:lineRule="auto"/>
        <w:jc w:val="both"/>
        <w:rPr>
          <w:sz w:val="28"/>
          <w:szCs w:val="28"/>
        </w:rPr>
      </w:pPr>
      <w:r w:rsidDel="00000000" w:rsidR="00000000" w:rsidRPr="00000000">
        <w:rPr>
          <w:rtl w:val="0"/>
        </w:rPr>
      </w:r>
    </w:p>
    <w:p w:rsidR="00000000" w:rsidDel="00000000" w:rsidP="00000000" w:rsidRDefault="00000000" w:rsidRPr="00000000" w14:paraId="00000040">
      <w:pPr>
        <w:spacing w:after="0" w:lineRule="auto"/>
        <w:jc w:val="both"/>
        <w:rPr>
          <w:sz w:val="28"/>
          <w:szCs w:val="28"/>
        </w:rPr>
      </w:pPr>
      <w:r w:rsidDel="00000000" w:rsidR="00000000" w:rsidRPr="00000000">
        <w:rPr>
          <w:sz w:val="28"/>
          <w:szCs w:val="28"/>
          <w:rtl w:val="0"/>
        </w:rPr>
        <w:t xml:space="preserve">Adicionalmente, las ponencias, para garantizar la integridad, pertinencia y calidad, deben de reflejar en su contenido:</w:t>
      </w:r>
    </w:p>
    <w:p w:rsidR="00000000" w:rsidDel="00000000" w:rsidP="00000000" w:rsidRDefault="00000000" w:rsidRPr="00000000" w14:paraId="00000041">
      <w:pPr>
        <w:spacing w:after="0" w:lineRule="auto"/>
        <w:jc w:val="both"/>
        <w:rPr>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Problema o situación problematizadora que aborda</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Líneas de argumentación</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Discusiones y/o reflexiones</w:t>
      </w:r>
    </w:p>
    <w:p w:rsidR="00000000" w:rsidDel="00000000" w:rsidP="00000000" w:rsidRDefault="00000000" w:rsidRPr="00000000" w14:paraId="00000045">
      <w:pPr>
        <w:spacing w:after="0" w:lineRule="auto"/>
        <w:jc w:val="both"/>
        <w:rPr>
          <w:sz w:val="28"/>
          <w:szCs w:val="28"/>
        </w:rPr>
      </w:pPr>
      <w:r w:rsidDel="00000000" w:rsidR="00000000" w:rsidRPr="00000000">
        <w:rPr>
          <w:rtl w:val="0"/>
        </w:rPr>
      </w:r>
    </w:p>
    <w:p w:rsidR="00000000" w:rsidDel="00000000" w:rsidP="00000000" w:rsidRDefault="00000000" w:rsidRPr="00000000" w14:paraId="00000046">
      <w:pPr>
        <w:spacing w:after="0" w:lineRule="auto"/>
        <w:jc w:val="both"/>
        <w:rPr>
          <w:b w:val="1"/>
          <w:sz w:val="28"/>
          <w:szCs w:val="28"/>
        </w:rPr>
      </w:pPr>
      <w:r w:rsidDel="00000000" w:rsidR="00000000" w:rsidRPr="00000000">
        <w:rPr>
          <w:sz w:val="28"/>
          <w:szCs w:val="28"/>
          <w:rtl w:val="0"/>
        </w:rPr>
        <w:t xml:space="preserve">Las memorias del evento saldrán publicadas en un libro de memoria con ISBN y las que ocupen el primer lugar serán publicadas en la en la revista Colombia de Contabilidad la cual está en las principales bases de indexación a nivel internacional.</w:t>
      </w:r>
      <w:r w:rsidDel="00000000" w:rsidR="00000000" w:rsidRPr="00000000">
        <w:rPr>
          <w:rtl w:val="0"/>
        </w:rPr>
      </w:r>
    </w:p>
    <w:p w:rsidR="00000000" w:rsidDel="00000000" w:rsidP="00000000" w:rsidRDefault="00000000" w:rsidRPr="00000000" w14:paraId="00000047">
      <w:pPr>
        <w:spacing w:after="0" w:lineRule="auto"/>
        <w:jc w:val="both"/>
        <w:rPr>
          <w:b w:val="1"/>
          <w:sz w:val="28"/>
          <w:szCs w:val="28"/>
        </w:rPr>
      </w:pPr>
      <w:r w:rsidDel="00000000" w:rsidR="00000000" w:rsidRPr="00000000">
        <w:rPr>
          <w:rtl w:val="0"/>
        </w:rPr>
      </w:r>
    </w:p>
    <w:p w:rsidR="00000000" w:rsidDel="00000000" w:rsidP="00000000" w:rsidRDefault="00000000" w:rsidRPr="00000000" w14:paraId="00000048">
      <w:pPr>
        <w:spacing w:after="0" w:lineRule="auto"/>
        <w:jc w:val="both"/>
        <w:rPr>
          <w:b w:val="1"/>
          <w:sz w:val="28"/>
          <w:szCs w:val="28"/>
        </w:rPr>
      </w:pPr>
      <w:r w:rsidDel="00000000" w:rsidR="00000000" w:rsidRPr="00000000">
        <w:rPr>
          <w:b w:val="1"/>
          <w:sz w:val="28"/>
          <w:szCs w:val="28"/>
          <w:rtl w:val="0"/>
        </w:rPr>
        <w:t xml:space="preserve">Temas del congreso</w:t>
      </w:r>
    </w:p>
    <w:p w:rsidR="00000000" w:rsidDel="00000000" w:rsidP="00000000" w:rsidRDefault="00000000" w:rsidRPr="00000000" w14:paraId="00000049">
      <w:pPr>
        <w:spacing w:after="0" w:lineRule="auto"/>
        <w:jc w:val="both"/>
        <w:rPr>
          <w:sz w:val="10"/>
          <w:szCs w:val="10"/>
        </w:rPr>
      </w:pPr>
      <w:r w:rsidDel="00000000" w:rsidR="00000000" w:rsidRPr="00000000">
        <w:rPr>
          <w:rtl w:val="0"/>
        </w:rPr>
      </w:r>
    </w:p>
    <w:p w:rsidR="00000000" w:rsidDel="00000000" w:rsidP="00000000" w:rsidRDefault="00000000" w:rsidRPr="00000000" w14:paraId="0000004A">
      <w:pPr>
        <w:spacing w:after="0" w:lineRule="auto"/>
        <w:jc w:val="both"/>
        <w:rPr>
          <w:sz w:val="28"/>
          <w:szCs w:val="28"/>
        </w:rPr>
      </w:pPr>
      <w:r w:rsidDel="00000000" w:rsidR="00000000" w:rsidRPr="00000000">
        <w:rPr>
          <w:sz w:val="28"/>
          <w:szCs w:val="28"/>
          <w:rtl w:val="0"/>
        </w:rPr>
        <w:t xml:space="preserve">Las ponencias deberán presentarse a alguna de las siguientes mesas temáticas del Congreso:</w:t>
      </w:r>
    </w:p>
    <w:p w:rsidR="00000000" w:rsidDel="00000000" w:rsidP="00000000" w:rsidRDefault="00000000" w:rsidRPr="00000000" w14:paraId="0000004B">
      <w:pPr>
        <w:spacing w:after="0" w:lineRule="auto"/>
        <w:jc w:val="both"/>
        <w:rPr>
          <w:sz w:val="28"/>
          <w:szCs w:val="28"/>
        </w:rPr>
      </w:pPr>
      <w:r w:rsidDel="00000000" w:rsidR="00000000" w:rsidRPr="00000000">
        <w:rPr>
          <w:rtl w:val="0"/>
        </w:rPr>
      </w:r>
    </w:p>
    <w:p w:rsidR="00000000" w:rsidDel="00000000" w:rsidP="00000000" w:rsidRDefault="00000000" w:rsidRPr="00000000" w14:paraId="0000004C">
      <w:pPr>
        <w:spacing w:after="0" w:lineRule="auto"/>
        <w:jc w:val="both"/>
        <w:rPr>
          <w:sz w:val="28"/>
          <w:szCs w:val="28"/>
        </w:rPr>
      </w:pPr>
      <w:r w:rsidDel="00000000" w:rsidR="00000000" w:rsidRPr="00000000">
        <w:rPr>
          <w:rtl w:val="0"/>
        </w:rPr>
      </w:r>
    </w:p>
    <w:p w:rsidR="00000000" w:rsidDel="00000000" w:rsidP="00000000" w:rsidRDefault="00000000" w:rsidRPr="00000000" w14:paraId="0000004D">
      <w:pPr>
        <w:spacing w:after="0" w:lineRule="auto"/>
        <w:jc w:val="both"/>
        <w:rPr>
          <w:sz w:val="28"/>
          <w:szCs w:val="28"/>
        </w:rPr>
      </w:pPr>
      <w:r w:rsidDel="00000000" w:rsidR="00000000" w:rsidRPr="00000000">
        <w:rPr>
          <w:rtl w:val="0"/>
        </w:rPr>
      </w:r>
    </w:p>
    <w:p w:rsidR="00000000" w:rsidDel="00000000" w:rsidP="00000000" w:rsidRDefault="00000000" w:rsidRPr="00000000" w14:paraId="0000004E">
      <w:pPr>
        <w:spacing w:after="0" w:lineRule="auto"/>
        <w:jc w:val="both"/>
        <w:rPr>
          <w:sz w:val="10"/>
          <w:szCs w:val="10"/>
        </w:rPr>
      </w:pP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Organización, administración y gestión</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Contabilidad, auditoría e información para el control</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Emprendimiento, innovación y desarrollo empresarial</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Finanzas, inversión, negocios internacionales y gobierno corporativo</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Talento humano, ética y responsabilidad social</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Educación, formación y cierre de brechas del talento humano</w:t>
      </w:r>
    </w:p>
    <w:p w:rsidR="00000000" w:rsidDel="00000000" w:rsidP="00000000" w:rsidRDefault="00000000" w:rsidRPr="00000000" w14:paraId="00000055">
      <w:pPr>
        <w:spacing w:after="0" w:lineRule="auto"/>
        <w:jc w:val="both"/>
        <w:rPr>
          <w:sz w:val="28"/>
          <w:szCs w:val="28"/>
        </w:rPr>
      </w:pPr>
      <w:r w:rsidDel="00000000" w:rsidR="00000000" w:rsidRPr="00000000">
        <w:rPr>
          <w:rtl w:val="0"/>
        </w:rPr>
      </w:r>
    </w:p>
    <w:p w:rsidR="00000000" w:rsidDel="00000000" w:rsidP="00000000" w:rsidRDefault="00000000" w:rsidRPr="00000000" w14:paraId="00000056">
      <w:pPr>
        <w:spacing w:after="0" w:lineRule="auto"/>
        <w:jc w:val="both"/>
        <w:rPr>
          <w:sz w:val="28"/>
          <w:szCs w:val="28"/>
        </w:rPr>
      </w:pPr>
      <w:r w:rsidDel="00000000" w:rsidR="00000000" w:rsidRPr="00000000">
        <w:rPr>
          <w:sz w:val="28"/>
          <w:szCs w:val="28"/>
          <w:rtl w:val="0"/>
        </w:rPr>
        <w:t xml:space="preserve">Se privilegiarán aquellos trabajos que analicen realidades de organizaciones específicas, utilizando información de fuentes primarias y/o secundarias. No serán aceptados como ponencia los informes de gestión o los trabajos de consultoría.</w:t>
      </w:r>
    </w:p>
    <w:p w:rsidR="00000000" w:rsidDel="00000000" w:rsidP="00000000" w:rsidRDefault="00000000" w:rsidRPr="00000000" w14:paraId="00000057">
      <w:pPr>
        <w:spacing w:after="0" w:lineRule="auto"/>
        <w:jc w:val="both"/>
        <w:rPr>
          <w:b w:val="1"/>
          <w:sz w:val="10"/>
          <w:szCs w:val="10"/>
        </w:rPr>
      </w:pPr>
      <w:r w:rsidDel="00000000" w:rsidR="00000000" w:rsidRPr="00000000">
        <w:rPr>
          <w:rtl w:val="0"/>
        </w:rPr>
      </w:r>
    </w:p>
    <w:p w:rsidR="00000000" w:rsidDel="00000000" w:rsidP="00000000" w:rsidRDefault="00000000" w:rsidRPr="00000000" w14:paraId="00000058">
      <w:pPr>
        <w:spacing w:after="0" w:lineRule="auto"/>
        <w:jc w:val="both"/>
        <w:rPr>
          <w:b w:val="1"/>
          <w:sz w:val="28"/>
          <w:szCs w:val="28"/>
        </w:rPr>
      </w:pPr>
      <w:r w:rsidDel="00000000" w:rsidR="00000000" w:rsidRPr="00000000">
        <w:rPr>
          <w:b w:val="1"/>
          <w:sz w:val="28"/>
          <w:szCs w:val="28"/>
          <w:rtl w:val="0"/>
        </w:rPr>
        <w:t xml:space="preserve">Fechas importantes</w:t>
      </w:r>
    </w:p>
    <w:p w:rsidR="00000000" w:rsidDel="00000000" w:rsidP="00000000" w:rsidRDefault="00000000" w:rsidRPr="00000000" w14:paraId="00000059">
      <w:pPr>
        <w:spacing w:after="0" w:lineRule="auto"/>
        <w:jc w:val="both"/>
        <w:rPr>
          <w:sz w:val="10"/>
          <w:szCs w:val="10"/>
        </w:rPr>
      </w:pPr>
      <w:r w:rsidDel="00000000" w:rsidR="00000000" w:rsidRPr="00000000">
        <w:rPr>
          <w:rtl w:val="0"/>
        </w:rPr>
      </w:r>
    </w:p>
    <w:p w:rsidR="00000000" w:rsidDel="00000000" w:rsidP="00000000" w:rsidRDefault="00000000" w:rsidRPr="00000000" w14:paraId="0000005A">
      <w:pPr>
        <w:spacing w:after="0" w:lineRule="auto"/>
        <w:jc w:val="both"/>
        <w:rPr>
          <w:sz w:val="28"/>
          <w:szCs w:val="28"/>
        </w:rPr>
      </w:pPr>
      <w:r w:rsidDel="00000000" w:rsidR="00000000" w:rsidRPr="00000000">
        <w:rPr>
          <w:sz w:val="28"/>
          <w:szCs w:val="28"/>
          <w:rtl w:val="0"/>
        </w:rPr>
        <w:t xml:space="preserve">Fecha límite para envío de resúmenes: Septiembre 30 de 2025</w:t>
      </w:r>
    </w:p>
    <w:p w:rsidR="00000000" w:rsidDel="00000000" w:rsidP="00000000" w:rsidRDefault="00000000" w:rsidRPr="00000000" w14:paraId="0000005B">
      <w:pPr>
        <w:spacing w:after="0" w:lineRule="auto"/>
        <w:jc w:val="both"/>
        <w:rPr>
          <w:sz w:val="10"/>
          <w:szCs w:val="10"/>
        </w:rPr>
      </w:pPr>
      <w:r w:rsidDel="00000000" w:rsidR="00000000" w:rsidRPr="00000000">
        <w:rPr>
          <w:rtl w:val="0"/>
        </w:rPr>
      </w:r>
    </w:p>
    <w:p w:rsidR="00000000" w:rsidDel="00000000" w:rsidP="00000000" w:rsidRDefault="00000000" w:rsidRPr="00000000" w14:paraId="0000005C">
      <w:pPr>
        <w:spacing w:after="0" w:lineRule="auto"/>
        <w:jc w:val="both"/>
        <w:rPr>
          <w:sz w:val="28"/>
          <w:szCs w:val="28"/>
        </w:rPr>
      </w:pPr>
      <w:r w:rsidDel="00000000" w:rsidR="00000000" w:rsidRPr="00000000">
        <w:rPr>
          <w:sz w:val="28"/>
          <w:szCs w:val="28"/>
          <w:rtl w:val="0"/>
        </w:rPr>
        <w:t xml:space="preserve">Fecha límite para envío de ponencias completas: Octubre 10 de 2025</w:t>
      </w:r>
    </w:p>
    <w:p w:rsidR="00000000" w:rsidDel="00000000" w:rsidP="00000000" w:rsidRDefault="00000000" w:rsidRPr="00000000" w14:paraId="0000005D">
      <w:pPr>
        <w:spacing w:after="0" w:lineRule="auto"/>
        <w:jc w:val="both"/>
        <w:rPr>
          <w:sz w:val="10"/>
          <w:szCs w:val="10"/>
        </w:rPr>
      </w:pPr>
      <w:r w:rsidDel="00000000" w:rsidR="00000000" w:rsidRPr="00000000">
        <w:rPr>
          <w:rtl w:val="0"/>
        </w:rPr>
      </w:r>
    </w:p>
    <w:p w:rsidR="00000000" w:rsidDel="00000000" w:rsidP="00000000" w:rsidRDefault="00000000" w:rsidRPr="00000000" w14:paraId="0000005E">
      <w:pPr>
        <w:spacing w:after="0" w:lineRule="auto"/>
        <w:ind w:left="142" w:hanging="142"/>
        <w:jc w:val="both"/>
        <w:rPr/>
      </w:pPr>
      <w:r w:rsidDel="00000000" w:rsidR="00000000" w:rsidRPr="00000000">
        <w:rPr>
          <w:rtl w:val="0"/>
        </w:rPr>
        <w:t xml:space="preserve">* Podrán participar quienes envíen su ponencia completa antes del 10 de septiembre del año en curso, incluso si no han enviado el resumen de la misma.</w:t>
      </w:r>
    </w:p>
    <w:p w:rsidR="00000000" w:rsidDel="00000000" w:rsidP="00000000" w:rsidRDefault="00000000" w:rsidRPr="00000000" w14:paraId="0000005F">
      <w:pPr>
        <w:spacing w:after="0" w:lineRule="auto"/>
        <w:ind w:left="142" w:hanging="142"/>
        <w:jc w:val="both"/>
        <w:rPr/>
      </w:pPr>
      <w:r w:rsidDel="00000000" w:rsidR="00000000" w:rsidRPr="00000000">
        <w:rPr>
          <w:rtl w:val="0"/>
        </w:rPr>
        <w:t xml:space="preserve">* Las ponencias pueden ser enviadas desde la publicación de esta convocatoria y hasta el 25 de septiembre.</w:t>
      </w:r>
    </w:p>
    <w:p w:rsidR="00000000" w:rsidDel="00000000" w:rsidP="00000000" w:rsidRDefault="00000000" w:rsidRPr="00000000" w14:paraId="00000060">
      <w:pPr>
        <w:spacing w:after="0" w:lineRule="auto"/>
        <w:jc w:val="both"/>
        <w:rPr>
          <w:sz w:val="10"/>
          <w:szCs w:val="10"/>
        </w:rPr>
      </w:pPr>
      <w:r w:rsidDel="00000000" w:rsidR="00000000" w:rsidRPr="00000000">
        <w:rPr>
          <w:rtl w:val="0"/>
        </w:rPr>
      </w:r>
    </w:p>
    <w:p w:rsidR="00000000" w:rsidDel="00000000" w:rsidP="00000000" w:rsidRDefault="00000000" w:rsidRPr="00000000" w14:paraId="00000061">
      <w:pPr>
        <w:spacing w:after="0" w:lineRule="auto"/>
        <w:jc w:val="both"/>
        <w:rPr>
          <w:sz w:val="28"/>
          <w:szCs w:val="28"/>
        </w:rPr>
      </w:pPr>
      <w:r w:rsidDel="00000000" w:rsidR="00000000" w:rsidRPr="00000000">
        <w:rPr>
          <w:sz w:val="28"/>
          <w:szCs w:val="28"/>
          <w:rtl w:val="0"/>
        </w:rPr>
        <w:t xml:space="preserve">Desarrollo del congreso: Del 04 al 08 de noviembre de 2025</w:t>
      </w:r>
    </w:p>
    <w:p w:rsidR="00000000" w:rsidDel="00000000" w:rsidP="00000000" w:rsidRDefault="00000000" w:rsidRPr="00000000" w14:paraId="00000062">
      <w:pPr>
        <w:spacing w:after="0" w:lineRule="auto"/>
        <w:jc w:val="both"/>
        <w:rPr>
          <w:sz w:val="10"/>
          <w:szCs w:val="10"/>
        </w:rPr>
      </w:pPr>
      <w:r w:rsidDel="00000000" w:rsidR="00000000" w:rsidRPr="00000000">
        <w:rPr>
          <w:rtl w:val="0"/>
        </w:rPr>
      </w:r>
    </w:p>
    <w:p w:rsidR="00000000" w:rsidDel="00000000" w:rsidP="00000000" w:rsidRDefault="00000000" w:rsidRPr="00000000" w14:paraId="00000063">
      <w:pPr>
        <w:spacing w:after="0" w:lineRule="auto"/>
        <w:jc w:val="both"/>
        <w:rPr>
          <w:b w:val="1"/>
          <w:sz w:val="28"/>
          <w:szCs w:val="28"/>
        </w:rPr>
      </w:pPr>
      <w:r w:rsidDel="00000000" w:rsidR="00000000" w:rsidRPr="00000000">
        <w:rPr>
          <w:b w:val="1"/>
          <w:sz w:val="28"/>
          <w:szCs w:val="28"/>
          <w:rtl w:val="0"/>
        </w:rPr>
        <w:t xml:space="preserve">Mayor Información</w:t>
      </w:r>
    </w:p>
    <w:p w:rsidR="00000000" w:rsidDel="00000000" w:rsidP="00000000" w:rsidRDefault="00000000" w:rsidRPr="00000000" w14:paraId="00000064">
      <w:pPr>
        <w:spacing w:after="0" w:lineRule="auto"/>
        <w:jc w:val="both"/>
        <w:rPr>
          <w:sz w:val="10"/>
          <w:szCs w:val="10"/>
        </w:rPr>
      </w:pPr>
      <w:r w:rsidDel="00000000" w:rsidR="00000000" w:rsidRPr="00000000">
        <w:rPr>
          <w:rtl w:val="0"/>
        </w:rPr>
      </w:r>
    </w:p>
    <w:p w:rsidR="00000000" w:rsidDel="00000000" w:rsidP="00000000" w:rsidRDefault="00000000" w:rsidRPr="00000000" w14:paraId="00000065">
      <w:pPr>
        <w:spacing w:after="0" w:lineRule="auto"/>
        <w:jc w:val="both"/>
        <w:rPr>
          <w:color w:val="0000ff"/>
          <w:sz w:val="28"/>
          <w:szCs w:val="28"/>
          <w:u w:val="single"/>
        </w:rPr>
      </w:pPr>
      <w:hyperlink r:id="rId7">
        <w:r w:rsidDel="00000000" w:rsidR="00000000" w:rsidRPr="00000000">
          <w:rPr>
            <w:color w:val="0563c1"/>
            <w:sz w:val="28"/>
            <w:szCs w:val="28"/>
            <w:u w:val="single"/>
            <w:rtl w:val="0"/>
          </w:rPr>
          <w:t xml:space="preserve">enventos@asfacop.org.co</w:t>
        </w:r>
      </w:hyperlink>
      <w:r w:rsidDel="00000000" w:rsidR="00000000" w:rsidRPr="00000000">
        <w:rPr>
          <w:rtl w:val="0"/>
        </w:rPr>
      </w:r>
    </w:p>
    <w:p w:rsidR="00000000" w:rsidDel="00000000" w:rsidP="00000000" w:rsidRDefault="00000000" w:rsidRPr="00000000" w14:paraId="00000066">
      <w:pPr>
        <w:spacing w:after="0" w:lineRule="auto"/>
        <w:jc w:val="both"/>
        <w:rPr>
          <w:sz w:val="28"/>
          <w:szCs w:val="28"/>
        </w:rPr>
      </w:pPr>
      <w:r w:rsidDel="00000000" w:rsidR="00000000" w:rsidRPr="00000000">
        <w:rPr>
          <w:color w:val="0000ff"/>
          <w:sz w:val="28"/>
          <w:szCs w:val="28"/>
          <w:u w:val="single"/>
          <w:rtl w:val="0"/>
        </w:rPr>
        <w:t xml:space="preserve">martae.gomez@ucc.edu.co</w:t>
      </w:r>
      <w:r w:rsidDel="00000000" w:rsidR="00000000" w:rsidRPr="00000000">
        <w:rPr>
          <w:rtl w:val="0"/>
        </w:rPr>
      </w:r>
    </w:p>
    <w:p w:rsidR="00000000" w:rsidDel="00000000" w:rsidP="00000000" w:rsidRDefault="00000000" w:rsidRPr="00000000" w14:paraId="00000067">
      <w:pPr>
        <w:spacing w:after="0" w:lineRule="auto"/>
        <w:jc w:val="both"/>
        <w:rPr>
          <w:sz w:val="28"/>
          <w:szCs w:val="28"/>
        </w:rPr>
      </w:pPr>
      <w:hyperlink r:id="rId8">
        <w:r w:rsidDel="00000000" w:rsidR="00000000" w:rsidRPr="00000000">
          <w:rPr>
            <w:color w:val="1155cc"/>
            <w:sz w:val="28"/>
            <w:szCs w:val="28"/>
            <w:u w:val="single"/>
            <w:rtl w:val="0"/>
          </w:rPr>
          <w:t xml:space="preserve">coordinacionalafec@fca.unam.mx</w:t>
        </w:r>
      </w:hyperlink>
      <w:r w:rsidDel="00000000" w:rsidR="00000000" w:rsidRPr="00000000">
        <w:rPr>
          <w:rtl w:val="0"/>
        </w:rPr>
      </w:r>
    </w:p>
    <w:p w:rsidR="00000000" w:rsidDel="00000000" w:rsidP="00000000" w:rsidRDefault="00000000" w:rsidRPr="00000000" w14:paraId="00000068">
      <w:pPr>
        <w:spacing w:after="0" w:lineRule="auto"/>
        <w:jc w:val="both"/>
        <w:rPr>
          <w:color w:val="0000ff"/>
          <w:sz w:val="10"/>
          <w:szCs w:val="10"/>
          <w:u w:val="single"/>
        </w:rPr>
      </w:pPr>
      <w:r w:rsidDel="00000000" w:rsidR="00000000" w:rsidRPr="00000000">
        <w:rPr>
          <w:rtl w:val="0"/>
        </w:rPr>
      </w:r>
    </w:p>
    <w:p w:rsidR="00000000" w:rsidDel="00000000" w:rsidP="00000000" w:rsidRDefault="00000000" w:rsidRPr="00000000" w14:paraId="00000069">
      <w:pPr>
        <w:spacing w:after="0" w:lineRule="auto"/>
        <w:jc w:val="both"/>
        <w:rPr>
          <w:b w:val="1"/>
          <w:sz w:val="28"/>
          <w:szCs w:val="28"/>
        </w:rPr>
      </w:pPr>
      <w:r w:rsidDel="00000000" w:rsidR="00000000" w:rsidRPr="00000000">
        <w:rPr>
          <w:b w:val="1"/>
          <w:sz w:val="28"/>
          <w:szCs w:val="28"/>
          <w:rtl w:val="0"/>
        </w:rPr>
        <w:t xml:space="preserve">Cuotas de inscripción</w:t>
      </w:r>
    </w:p>
    <w:p w:rsidR="00000000" w:rsidDel="00000000" w:rsidP="00000000" w:rsidRDefault="00000000" w:rsidRPr="00000000" w14:paraId="0000006A">
      <w:pPr>
        <w:spacing w:after="0" w:lineRule="auto"/>
        <w:jc w:val="both"/>
        <w:rPr>
          <w:sz w:val="20"/>
          <w:szCs w:val="20"/>
        </w:rPr>
      </w:pPr>
      <w:r w:rsidDel="00000000" w:rsidR="00000000" w:rsidRPr="00000000">
        <w:rPr>
          <w:rtl w:val="0"/>
        </w:rPr>
      </w:r>
    </w:p>
    <w:p w:rsidR="00000000" w:rsidDel="00000000" w:rsidP="00000000" w:rsidRDefault="00000000" w:rsidRPr="00000000" w14:paraId="0000006B">
      <w:pPr>
        <w:spacing w:after="0" w:lineRule="auto"/>
        <w:jc w:val="both"/>
        <w:rPr>
          <w:sz w:val="28"/>
          <w:szCs w:val="28"/>
        </w:rPr>
      </w:pPr>
      <w:r w:rsidDel="00000000" w:rsidR="00000000" w:rsidRPr="00000000">
        <w:rPr>
          <w:sz w:val="28"/>
          <w:szCs w:val="28"/>
          <w:rtl w:val="0"/>
        </w:rPr>
        <w:t xml:space="preserve">La cuota de inscripción para delegados incluye:</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Acreditación personalizada.</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jc w:val="both"/>
        <w:rPr>
          <w:color w:val="000000"/>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jc w:val="both"/>
        <w:rPr>
          <w:color w:val="000000"/>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jc w:val="both"/>
        <w:rPr>
          <w:color w:val="000000"/>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jc w:val="both"/>
        <w:rPr>
          <w:color w:val="000000"/>
          <w:sz w:val="28"/>
          <w:szCs w:val="28"/>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Diploma de participación y/o ponente y certificado de créditos académicos por participación en cursos intensivos.</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Material promocional</w:t>
      </w:r>
      <w:r w:rsidDel="00000000" w:rsidR="00000000" w:rsidRPr="00000000">
        <w:rPr>
          <w:sz w:val="28"/>
          <w:szCs w:val="28"/>
          <w:rtl w:val="0"/>
        </w:rPr>
        <w:t xml:space="preserve">: souvenir. </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Foto oficial.</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Participación en actividades académicas y científicas.</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Actividad de bienvenida.</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Coffee break.</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Almuerzos.</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Actividades culturales. </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Transporte a todas las actividades oficiales de acuerdo con el programa.</w:t>
      </w:r>
    </w:p>
    <w:p w:rsidR="00000000" w:rsidDel="00000000" w:rsidP="00000000" w:rsidRDefault="00000000" w:rsidRPr="00000000" w14:paraId="0000007A">
      <w:pPr>
        <w:spacing w:after="0" w:lineRule="auto"/>
        <w:jc w:val="both"/>
        <w:rPr>
          <w:b w:val="1"/>
          <w:sz w:val="28"/>
          <w:szCs w:val="28"/>
        </w:rPr>
      </w:pPr>
      <w:r w:rsidDel="00000000" w:rsidR="00000000" w:rsidRPr="00000000">
        <w:rPr>
          <w:b w:val="1"/>
          <w:sz w:val="28"/>
          <w:szCs w:val="28"/>
          <w:rtl w:val="0"/>
        </w:rPr>
        <w:t xml:space="preserve">No incluye:</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Alimentación no especificada.</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Tiquetes aéreos.</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Traslados aéreos o terrestres a la Universidad Sede.</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color w:val="000000"/>
          <w:sz w:val="28"/>
          <w:szCs w:val="28"/>
          <w:rtl w:val="0"/>
        </w:rPr>
        <w:t xml:space="preserve">Hospedaje.</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jc w:val="both"/>
        <w:rPr>
          <w:color w:val="000000"/>
          <w:sz w:val="28"/>
          <w:szCs w:val="28"/>
        </w:rPr>
      </w:pPr>
      <w:r w:rsidDel="00000000" w:rsidR="00000000" w:rsidRPr="00000000">
        <w:rPr>
          <w:rtl w:val="0"/>
        </w:rPr>
      </w:r>
    </w:p>
    <w:tbl>
      <w:tblPr>
        <w:tblStyle w:val="Table1"/>
        <w:tblW w:w="5885.0" w:type="dxa"/>
        <w:jc w:val="center"/>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A0"/>
      </w:tblPr>
      <w:tblGrid>
        <w:gridCol w:w="2942"/>
        <w:gridCol w:w="2943"/>
        <w:tblGridChange w:id="0">
          <w:tblGrid>
            <w:gridCol w:w="2942"/>
            <w:gridCol w:w="2943"/>
          </w:tblGrid>
        </w:tblGridChange>
      </w:tblGrid>
      <w:tr>
        <w:trPr>
          <w:cantSplit w:val="0"/>
          <w:tblHeader w:val="0"/>
        </w:trPr>
        <w:tc>
          <w:tcPr>
            <w:gridSpan w:val="2"/>
          </w:tcPr>
          <w:p w:rsidR="00000000" w:rsidDel="00000000" w:rsidP="00000000" w:rsidRDefault="00000000" w:rsidRPr="00000000" w14:paraId="00000080">
            <w:pPr>
              <w:spacing w:after="0" w:lineRule="auto"/>
              <w:jc w:val="center"/>
              <w:rPr>
                <w:b w:val="0"/>
                <w:color w:val="000000"/>
                <w:sz w:val="28"/>
                <w:szCs w:val="28"/>
              </w:rPr>
            </w:pPr>
            <w:r w:rsidDel="00000000" w:rsidR="00000000" w:rsidRPr="00000000">
              <w:rPr>
                <w:sz w:val="28"/>
                <w:szCs w:val="28"/>
                <w:rtl w:val="0"/>
              </w:rPr>
              <w:t xml:space="preserve">CUOTAS DE INSCRIPCIÓN</w:t>
            </w:r>
            <w:r w:rsidDel="00000000" w:rsidR="00000000" w:rsidRPr="00000000">
              <w:rPr>
                <w:rtl w:val="0"/>
              </w:rPr>
            </w:r>
          </w:p>
        </w:tc>
      </w:tr>
      <w:tr>
        <w:trPr>
          <w:cantSplit w:val="0"/>
          <w:tblHeader w:val="0"/>
        </w:trPr>
        <w:tc>
          <w:tcPr/>
          <w:p w:rsidR="00000000" w:rsidDel="00000000" w:rsidP="00000000" w:rsidRDefault="00000000" w:rsidRPr="00000000" w14:paraId="00000082">
            <w:pPr>
              <w:spacing w:after="0" w:lineRule="auto"/>
              <w:jc w:val="both"/>
              <w:rPr>
                <w:color w:val="000000"/>
                <w:sz w:val="28"/>
                <w:szCs w:val="28"/>
              </w:rPr>
            </w:pPr>
            <w:r w:rsidDel="00000000" w:rsidR="00000000" w:rsidRPr="00000000">
              <w:rPr>
                <w:color w:val="000000"/>
                <w:sz w:val="28"/>
                <w:szCs w:val="28"/>
                <w:rtl w:val="0"/>
              </w:rPr>
              <w:t xml:space="preserve">Estudiante</w:t>
            </w:r>
          </w:p>
        </w:tc>
        <w:tc>
          <w:tcPr/>
          <w:p w:rsidR="00000000" w:rsidDel="00000000" w:rsidP="00000000" w:rsidRDefault="00000000" w:rsidRPr="00000000" w14:paraId="00000083">
            <w:pPr>
              <w:spacing w:after="0" w:lineRule="auto"/>
              <w:jc w:val="both"/>
              <w:rPr>
                <w:color w:val="000000"/>
                <w:sz w:val="28"/>
                <w:szCs w:val="28"/>
              </w:rPr>
            </w:pPr>
            <w:r w:rsidDel="00000000" w:rsidR="00000000" w:rsidRPr="00000000">
              <w:rPr>
                <w:color w:val="000000"/>
                <w:sz w:val="28"/>
                <w:szCs w:val="28"/>
                <w:rtl w:val="0"/>
              </w:rPr>
              <w:t xml:space="preserve">300 USD</w:t>
            </w:r>
          </w:p>
        </w:tc>
      </w:tr>
      <w:tr>
        <w:trPr>
          <w:cantSplit w:val="0"/>
          <w:tblHeader w:val="0"/>
        </w:trPr>
        <w:tc>
          <w:tcPr/>
          <w:p w:rsidR="00000000" w:rsidDel="00000000" w:rsidP="00000000" w:rsidRDefault="00000000" w:rsidRPr="00000000" w14:paraId="00000084">
            <w:pPr>
              <w:spacing w:after="0" w:lineRule="auto"/>
              <w:jc w:val="both"/>
              <w:rPr>
                <w:color w:val="000000"/>
                <w:sz w:val="28"/>
                <w:szCs w:val="28"/>
              </w:rPr>
            </w:pPr>
            <w:r w:rsidDel="00000000" w:rsidR="00000000" w:rsidRPr="00000000">
              <w:rPr>
                <w:color w:val="000000"/>
                <w:sz w:val="28"/>
                <w:szCs w:val="28"/>
                <w:rtl w:val="0"/>
              </w:rPr>
              <w:t xml:space="preserve">Profesor visitante</w:t>
            </w:r>
          </w:p>
        </w:tc>
        <w:tc>
          <w:tcPr/>
          <w:p w:rsidR="00000000" w:rsidDel="00000000" w:rsidP="00000000" w:rsidRDefault="00000000" w:rsidRPr="00000000" w14:paraId="00000085">
            <w:pPr>
              <w:spacing w:after="0" w:lineRule="auto"/>
              <w:jc w:val="both"/>
              <w:rPr>
                <w:color w:val="000000"/>
                <w:sz w:val="28"/>
                <w:szCs w:val="28"/>
              </w:rPr>
            </w:pPr>
            <w:r w:rsidDel="00000000" w:rsidR="00000000" w:rsidRPr="00000000">
              <w:rPr>
                <w:color w:val="000000"/>
                <w:sz w:val="28"/>
                <w:szCs w:val="28"/>
                <w:rtl w:val="0"/>
              </w:rPr>
              <w:t xml:space="preserve">250 USD</w:t>
            </w:r>
          </w:p>
        </w:tc>
      </w:tr>
    </w:tbl>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sectPr>
      <w:head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-448308</wp:posOffset>
          </wp:positionV>
          <wp:extent cx="7823835" cy="1012444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23835" cy="10124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85" w:hanging="360"/>
      </w:pPr>
      <w:rPr>
        <w:color w:val="00b0f0"/>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color w:val="00b0f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55D1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5D1E"/>
  </w:style>
  <w:style w:type="paragraph" w:styleId="Piedepgina">
    <w:name w:val="footer"/>
    <w:basedOn w:val="Normal"/>
    <w:link w:val="PiedepginaCar"/>
    <w:uiPriority w:val="99"/>
    <w:unhideWhenUsed w:val="1"/>
    <w:rsid w:val="00455D1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5D1E"/>
  </w:style>
  <w:style w:type="paragraph" w:styleId="Prrafodelista">
    <w:name w:val="List Paragraph"/>
    <w:basedOn w:val="Normal"/>
    <w:uiPriority w:val="34"/>
    <w:qFormat w:val="1"/>
    <w:rsid w:val="00747673"/>
    <w:pPr>
      <w:ind w:left="720"/>
      <w:contextualSpacing w:val="1"/>
    </w:pPr>
  </w:style>
  <w:style w:type="table" w:styleId="Tablaconcuadrcula">
    <w:name w:val="Table Grid"/>
    <w:basedOn w:val="Tablanormal"/>
    <w:uiPriority w:val="39"/>
    <w:rsid w:val="0074767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nfasis5">
    <w:name w:val="Grid Table 4 Accent 5"/>
    <w:basedOn w:val="Tablanormal"/>
    <w:uiPriority w:val="49"/>
    <w:rsid w:val="00747673"/>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Hipervnculo">
    <w:name w:val="Hyperlink"/>
    <w:basedOn w:val="Fuentedeprrafopredeter"/>
    <w:uiPriority w:val="99"/>
    <w:unhideWhenUsed w:val="1"/>
    <w:rsid w:val="00787E3D"/>
    <w:rPr>
      <w:color w:val="0563c1" w:themeColor="hyperlink"/>
      <w:u w:val="single"/>
    </w:rPr>
  </w:style>
  <w:style w:type="character" w:styleId="Mencinsinresolver">
    <w:name w:val="Unresolved Mention"/>
    <w:basedOn w:val="Fuentedeprrafopredeter"/>
    <w:uiPriority w:val="99"/>
    <w:semiHidden w:val="1"/>
    <w:unhideWhenUsed w:val="1"/>
    <w:rsid w:val="00787E3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rPr>
    </w:tblStylePr>
    <w:tblStylePr w:type="lastRow">
      <w:rPr>
        <w:b w:val="1"/>
      </w:rPr>
      <w:tcPr>
        <w:tcBorders>
          <w:top w:color="5b9bd5"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nventos@asfacop.org.co" TargetMode="External"/><Relationship Id="rId8" Type="http://schemas.openxmlformats.org/officeDocument/2006/relationships/hyperlink" Target="mailto:coordinacionalafec@fca.unam.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gfXMtscwobsqJBKaXd1F6N1ZNw==">CgMxLjA4AHIhMXBlREtMaWxNQmZLb0U3alQ1NkZhQnh6dkNkVTRtU0FQ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2025-09-15T18:20:00Z</dcterms:created>
  <dc:creator>usuario</dc:creator>
</cp:coreProperties>
</file>