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Asociación Latinoamericana de Facultades y Escuelas de Contaduría y Administración (ALAFEC)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  <w:vertAlign w:val="baseline"/>
        </w:rPr>
      </w:pPr>
      <w:bookmarkStart w:colFirst="0" w:colLast="0" w:name="_heading=h.lpbx3o7mf6bm" w:id="0"/>
      <w:bookmarkEnd w:id="0"/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Programa de Movilidad Internacional de Estudiantes de Posgrado (Maestría y Doctorado) y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Profesores Visitantes Latinoamericanos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Innovación, sostenibilidad y talento latinoamericano para un futuro global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Santa Marta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Colombia;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4 al 8 de Noviembre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 PRESUPUESTO DE GASTOS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el adecuado desarrollo de todas las actividades, se cuenta con el apoyo logístico </w:t>
      </w:r>
      <w:r w:rsidDel="00000000" w:rsidR="00000000" w:rsidRPr="00000000">
        <w:rPr>
          <w:rtl w:val="0"/>
        </w:rPr>
        <w:t xml:space="preserve">de la Asociación</w:t>
      </w:r>
      <w:r w:rsidDel="00000000" w:rsidR="00000000" w:rsidRPr="00000000">
        <w:rPr>
          <w:vertAlign w:val="baseline"/>
          <w:rtl w:val="0"/>
        </w:rPr>
        <w:t xml:space="preserve"> Colombiana de Facultades de Contaduría Pública. A continuación, se detallan las condiciones del plan que por facilidad del estudiante incluye todos los costos en un único valor: 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LUGAR: </w:t>
      </w:r>
      <w:r w:rsidDel="00000000" w:rsidR="00000000" w:rsidRPr="00000000">
        <w:rPr>
          <w:b w:val="1"/>
          <w:rtl w:val="0"/>
        </w:rPr>
        <w:t xml:space="preserve">SANTA MARTA</w:t>
      </w:r>
      <w:r w:rsidDel="00000000" w:rsidR="00000000" w:rsidRPr="00000000">
        <w:rPr>
          <w:b w:val="1"/>
          <w:vertAlign w:val="baseline"/>
          <w:rtl w:val="0"/>
        </w:rPr>
        <w:t xml:space="preserve"> – COLOMBIA </w:t>
      </w:r>
    </w:p>
    <w:p w:rsidR="00000000" w:rsidDel="00000000" w:rsidP="00000000" w:rsidRDefault="00000000" w:rsidRPr="00000000" w14:paraId="0000000F">
      <w:pPr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FECHA: </w:t>
      </w:r>
      <w:r w:rsidDel="00000000" w:rsidR="00000000" w:rsidRPr="00000000">
        <w:rPr>
          <w:b w:val="1"/>
          <w:rtl w:val="0"/>
        </w:rPr>
        <w:t xml:space="preserve">DEL 4 AL 8 DE NOVIEMBRE DEL 2025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ESTE PLAN INCLUYE: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Acreditación personalizada.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Diploma de participación y/o ponente y certificado de créditos académicos por participación en cursos intensivos.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Material promocional: souvenir.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Foto oficial.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Participación en actividades académicas y científicas.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Actividad de bienvenida.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Coffee break.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Almuerzos.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Actividades culturales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Transporte a todas las actividades oficiales de acuerdo con el programa.</w:t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 incluye: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spacing w:line="276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Alimentación no especificada.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pacing w:line="276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Tiquetes aéreos.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spacing w:line="276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Traslados aéreos o terrestres a la Universidad Sede.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spacing w:line="276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Hospedaje.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885.0" w:type="dxa"/>
        <w:jc w:val="center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2942"/>
        <w:gridCol w:w="2943"/>
        <w:tblGridChange w:id="0">
          <w:tblGrid>
            <w:gridCol w:w="2942"/>
            <w:gridCol w:w="29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CUOTAS DE INSCRIPCIÓN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Estudiante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Profesor visitante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250USD</w:t>
            </w:r>
          </w:p>
        </w:tc>
      </w:tr>
    </w:tbl>
    <w:p w:rsidR="00000000" w:rsidDel="00000000" w:rsidP="00000000" w:rsidRDefault="00000000" w:rsidRPr="00000000" w14:paraId="00000029">
      <w:pPr>
        <w:widowControl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1" w:top="1100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-1161414</wp:posOffset>
          </wp:positionH>
          <wp:positionV relativeFrom="paragraph">
            <wp:posOffset>-38099</wp:posOffset>
          </wp:positionV>
          <wp:extent cx="7823835" cy="1012444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835" cy="10124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-8957309</wp:posOffset>
          </wp:positionH>
          <wp:positionV relativeFrom="paragraph">
            <wp:posOffset>3144520</wp:posOffset>
          </wp:positionV>
          <wp:extent cx="7772400" cy="690943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6909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CO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CO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CO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CO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CO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O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CO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CO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0"/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O" w:val="es-E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O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CO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CO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CO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CO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s-CO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CO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s-CO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kakcFlalSCCBuf5+Islej6RZw==">CgMxLjAyDmgubHBieDNvN21mNmJtOAByITFzc0VPTzVZU1pNN015Wmo3S01DNkJjLVVEa29QbGRNLQ==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2024-03-01T18:23:00Z</dcterms:created>
  <dc:creator>Diana Paola Dorado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str>2023-03-27T00:00:00Z</vt:lpstr>
  </property>
  <property fmtid="{D5CDD505-2E9C-101B-9397-08002B2CF9AE}" pid="3" name="Creator">
    <vt:lpstr>Microsoft Word</vt:lpstr>
  </property>
  <property fmtid="{D5CDD505-2E9C-101B-9397-08002B2CF9AE}" pid="4" name="Created">
    <vt:lpstr>2023-03-21T00:00:00Z</vt:lpstr>
  </property>
</Properties>
</file>